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3E" w:rsidRPr="00B83B3E" w:rsidRDefault="00B83B3E" w:rsidP="00B83B3E">
      <w:pPr>
        <w:keepNext/>
        <w:keepLines/>
        <w:spacing w:after="209"/>
        <w:ind w:right="180"/>
        <w:jc w:val="center"/>
        <w:rPr>
          <w:sz w:val="28"/>
          <w:szCs w:val="28"/>
        </w:rPr>
      </w:pPr>
      <w:bookmarkStart w:id="0" w:name="bookmark0"/>
      <w:r w:rsidRPr="00B83B3E">
        <w:rPr>
          <w:rStyle w:val="11"/>
          <w:rFonts w:eastAsia="Arial Unicode MS"/>
          <w:bCs w:val="0"/>
          <w:sz w:val="28"/>
          <w:szCs w:val="28"/>
        </w:rPr>
        <w:t xml:space="preserve">Аналитическая справка по результатам мониторинга по оценке </w:t>
      </w:r>
      <w:proofErr w:type="spellStart"/>
      <w:r w:rsidRPr="00B83B3E">
        <w:rPr>
          <w:rStyle w:val="11"/>
          <w:rFonts w:eastAsia="Arial Unicode MS"/>
          <w:bCs w:val="0"/>
          <w:sz w:val="28"/>
          <w:szCs w:val="28"/>
        </w:rPr>
        <w:t>сформирован</w:t>
      </w:r>
      <w:r>
        <w:rPr>
          <w:rStyle w:val="11"/>
          <w:rFonts w:eastAsiaTheme="minorHAnsi"/>
          <w:bCs w:val="0"/>
          <w:sz w:val="28"/>
          <w:szCs w:val="28"/>
        </w:rPr>
        <w:t>ности</w:t>
      </w:r>
      <w:proofErr w:type="spellEnd"/>
      <w:r>
        <w:rPr>
          <w:rStyle w:val="11"/>
          <w:rFonts w:eastAsiaTheme="minorHAnsi"/>
          <w:bCs w:val="0"/>
          <w:sz w:val="28"/>
          <w:szCs w:val="28"/>
        </w:rPr>
        <w:t xml:space="preserve"> ценностных ориентаций 2021/22 </w:t>
      </w:r>
      <w:proofErr w:type="spellStart"/>
      <w:r>
        <w:rPr>
          <w:rStyle w:val="11"/>
          <w:rFonts w:eastAsiaTheme="minorHAnsi"/>
          <w:bCs w:val="0"/>
          <w:sz w:val="28"/>
          <w:szCs w:val="28"/>
        </w:rPr>
        <w:t>уч</w:t>
      </w:r>
      <w:proofErr w:type="spellEnd"/>
      <w:r>
        <w:rPr>
          <w:rStyle w:val="11"/>
          <w:rFonts w:eastAsiaTheme="minorHAnsi"/>
          <w:bCs w:val="0"/>
          <w:sz w:val="28"/>
          <w:szCs w:val="28"/>
        </w:rPr>
        <w:t>.</w:t>
      </w:r>
      <w:r w:rsidRPr="00B83B3E">
        <w:rPr>
          <w:rStyle w:val="11"/>
          <w:rFonts w:eastAsia="Arial Unicode MS"/>
          <w:bCs w:val="0"/>
          <w:sz w:val="28"/>
          <w:szCs w:val="28"/>
        </w:rPr>
        <w:t xml:space="preserve"> год</w:t>
      </w:r>
      <w:bookmarkEnd w:id="0"/>
    </w:p>
    <w:p w:rsidR="00B83B3E" w:rsidRPr="00F14993" w:rsidRDefault="00B83B3E" w:rsidP="00B83B3E">
      <w:pPr>
        <w:pStyle w:val="4"/>
        <w:shd w:val="clear" w:color="auto" w:fill="auto"/>
        <w:spacing w:after="0" w:line="312" w:lineRule="exact"/>
        <w:ind w:left="280" w:right="60" w:firstLine="400"/>
        <w:rPr>
          <w:sz w:val="28"/>
          <w:szCs w:val="28"/>
        </w:rPr>
      </w:pPr>
      <w:r w:rsidRPr="00F14993">
        <w:rPr>
          <w:rStyle w:val="1"/>
          <w:rFonts w:eastAsia="Arial Unicode MS"/>
          <w:sz w:val="28"/>
          <w:szCs w:val="28"/>
        </w:rPr>
        <w:t>Ценностные ориентации - сложный социально-психологический феномен, характеризующий направленность и содержание активности личности, определяющий общий подход человека к миру, к себе, придающий смысл и направление личностным позициям, поведению, поступкам. Это положение ставит воспитание перед фактом необходимости формирования у школьников приоритета общечеловеческих ценностей, процесс которого начинается в семье и получает дальнейшее развитие в школе.</w:t>
      </w:r>
    </w:p>
    <w:p w:rsidR="00B83B3E" w:rsidRPr="00F14993" w:rsidRDefault="00B83B3E" w:rsidP="00B83B3E">
      <w:pPr>
        <w:pStyle w:val="4"/>
        <w:shd w:val="clear" w:color="auto" w:fill="auto"/>
        <w:spacing w:after="358" w:line="312" w:lineRule="exact"/>
        <w:ind w:left="280" w:right="60" w:firstLine="400"/>
        <w:rPr>
          <w:rStyle w:val="1"/>
          <w:sz w:val="28"/>
          <w:szCs w:val="28"/>
        </w:rPr>
      </w:pPr>
      <w:r w:rsidRPr="00F14993">
        <w:rPr>
          <w:rStyle w:val="1"/>
          <w:rFonts w:eastAsia="Arial Unicode MS"/>
          <w:sz w:val="28"/>
          <w:szCs w:val="28"/>
        </w:rPr>
        <w:t xml:space="preserve">Основанием для составления аналитической справки являются документы, регламентирующие проведение процедуры оценки качества образования </w:t>
      </w:r>
      <w:r w:rsidRPr="00F14993">
        <w:rPr>
          <w:rStyle w:val="1"/>
          <w:sz w:val="28"/>
          <w:szCs w:val="28"/>
        </w:rPr>
        <w:t>Миллеровского района</w:t>
      </w:r>
      <w:r w:rsidRPr="00F14993">
        <w:rPr>
          <w:rStyle w:val="1"/>
          <w:rFonts w:eastAsia="Arial Unicode MS"/>
          <w:sz w:val="28"/>
          <w:szCs w:val="28"/>
        </w:rPr>
        <w:t xml:space="preserve">, данные мониторинга организации воспитания обучающихся общеобразовательных </w:t>
      </w:r>
      <w:r w:rsidRPr="00F14993">
        <w:rPr>
          <w:rStyle w:val="1"/>
          <w:sz w:val="28"/>
          <w:szCs w:val="28"/>
        </w:rPr>
        <w:t>организаций</w:t>
      </w:r>
      <w:proofErr w:type="gramStart"/>
      <w:r w:rsidRPr="00F14993">
        <w:rPr>
          <w:rStyle w:val="1"/>
          <w:sz w:val="28"/>
          <w:szCs w:val="28"/>
        </w:rPr>
        <w:t xml:space="preserve"> </w:t>
      </w:r>
      <w:r w:rsidRPr="00F14993">
        <w:rPr>
          <w:rStyle w:val="1"/>
          <w:rFonts w:eastAsia="Arial Unicode MS"/>
          <w:sz w:val="28"/>
          <w:szCs w:val="28"/>
        </w:rPr>
        <w:t>,</w:t>
      </w:r>
      <w:proofErr w:type="gramEnd"/>
      <w:r w:rsidRPr="00F14993">
        <w:rPr>
          <w:rStyle w:val="1"/>
          <w:rFonts w:eastAsia="Arial Unicode MS"/>
          <w:sz w:val="28"/>
          <w:szCs w:val="28"/>
        </w:rPr>
        <w:t xml:space="preserve"> анализ данных заместителей директоров по воспитательной работе общеобразовательных </w:t>
      </w:r>
      <w:r w:rsidRPr="00F14993">
        <w:rPr>
          <w:rStyle w:val="1"/>
          <w:sz w:val="28"/>
          <w:szCs w:val="28"/>
        </w:rPr>
        <w:t>организаций Миллеровского района</w:t>
      </w:r>
      <w:r w:rsidRPr="00F14993">
        <w:rPr>
          <w:rStyle w:val="1"/>
          <w:rFonts w:eastAsia="Arial Unicode MS"/>
          <w:sz w:val="28"/>
          <w:szCs w:val="28"/>
        </w:rPr>
        <w:t>, информационно-</w:t>
      </w:r>
      <w:r w:rsidRPr="00F14993">
        <w:rPr>
          <w:rStyle w:val="1"/>
          <w:sz w:val="28"/>
          <w:szCs w:val="28"/>
        </w:rPr>
        <w:t>аналитические данные специалистов</w:t>
      </w:r>
      <w:r w:rsidRPr="00F14993">
        <w:rPr>
          <w:rStyle w:val="1"/>
          <w:rFonts w:eastAsia="Arial Unicode MS"/>
          <w:sz w:val="28"/>
          <w:szCs w:val="28"/>
        </w:rPr>
        <w:t xml:space="preserve"> отдела образования </w:t>
      </w:r>
      <w:r w:rsidRPr="00F14993">
        <w:rPr>
          <w:rStyle w:val="1"/>
          <w:sz w:val="28"/>
          <w:szCs w:val="28"/>
        </w:rPr>
        <w:t>Миллеровского УО.</w:t>
      </w:r>
    </w:p>
    <w:p w:rsidR="00B83B3E" w:rsidRDefault="00B83B3E" w:rsidP="00B83B3E">
      <w:pPr>
        <w:pStyle w:val="4"/>
        <w:shd w:val="clear" w:color="auto" w:fill="auto"/>
        <w:spacing w:after="358" w:line="312" w:lineRule="exact"/>
        <w:ind w:left="280" w:right="60" w:firstLine="400"/>
      </w:pPr>
    </w:p>
    <w:p w:rsidR="00B83B3E" w:rsidRPr="00B83B3E" w:rsidRDefault="00B83B3E" w:rsidP="00B83B3E">
      <w:pPr>
        <w:spacing w:line="220" w:lineRule="exact"/>
        <w:jc w:val="center"/>
        <w:rPr>
          <w:sz w:val="28"/>
          <w:szCs w:val="28"/>
        </w:rPr>
      </w:pPr>
      <w:r w:rsidRPr="00B83B3E">
        <w:rPr>
          <w:rStyle w:val="20"/>
          <w:rFonts w:eastAsiaTheme="minorHAnsi"/>
          <w:sz w:val="28"/>
          <w:szCs w:val="28"/>
        </w:rPr>
        <w:t xml:space="preserve">Мониторинг по оценке </w:t>
      </w:r>
      <w:proofErr w:type="spellStart"/>
      <w:r w:rsidRPr="00B83B3E">
        <w:rPr>
          <w:rStyle w:val="20"/>
          <w:rFonts w:eastAsiaTheme="minorHAnsi"/>
          <w:sz w:val="28"/>
          <w:szCs w:val="28"/>
        </w:rPr>
        <w:t>сформированности</w:t>
      </w:r>
      <w:proofErr w:type="spellEnd"/>
      <w:r w:rsidRPr="00B83B3E">
        <w:rPr>
          <w:rStyle w:val="20"/>
          <w:rFonts w:eastAsiaTheme="minorHAnsi"/>
          <w:sz w:val="28"/>
          <w:szCs w:val="28"/>
        </w:rPr>
        <w:t xml:space="preserve"> ценностных ориентаций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6"/>
        <w:gridCol w:w="6950"/>
        <w:gridCol w:w="1723"/>
      </w:tblGrid>
      <w:tr w:rsidR="00B83B3E" w:rsidRPr="00F14993" w:rsidTr="00D02308">
        <w:trPr>
          <w:trHeight w:hRule="exact" w:val="845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F14993">
              <w:rPr>
                <w:rStyle w:val="a4"/>
                <w:sz w:val="24"/>
                <w:szCs w:val="24"/>
              </w:rPr>
              <w:t>Критерии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F14993">
              <w:rPr>
                <w:rStyle w:val="a4"/>
                <w:sz w:val="24"/>
                <w:szCs w:val="24"/>
              </w:rPr>
              <w:t>Показатели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14993">
              <w:rPr>
                <w:rStyle w:val="a4"/>
                <w:sz w:val="24"/>
                <w:szCs w:val="24"/>
              </w:rPr>
              <w:t>Результатив</w:t>
            </w:r>
            <w:proofErr w:type="spellEnd"/>
          </w:p>
          <w:p w:rsidR="00B83B3E" w:rsidRPr="00F14993" w:rsidRDefault="00B83B3E" w:rsidP="00B83B3E">
            <w:pPr>
              <w:pStyle w:val="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14993">
              <w:rPr>
                <w:rStyle w:val="a4"/>
                <w:sz w:val="24"/>
                <w:szCs w:val="24"/>
              </w:rPr>
              <w:t>ность</w:t>
            </w:r>
            <w:proofErr w:type="spellEnd"/>
          </w:p>
        </w:tc>
      </w:tr>
      <w:tr w:rsidR="00B83B3E" w:rsidRPr="00F14993" w:rsidTr="00D02308">
        <w:trPr>
          <w:trHeight w:hRule="exact" w:val="523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278" w:lineRule="exact"/>
              <w:ind w:left="2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190" w:lineRule="exact"/>
              <w:ind w:left="680" w:firstLine="0"/>
              <w:jc w:val="left"/>
              <w:rPr>
                <w:b/>
                <w:sz w:val="24"/>
                <w:szCs w:val="24"/>
              </w:rPr>
            </w:pPr>
            <w:r w:rsidRPr="00F14993">
              <w:rPr>
                <w:rStyle w:val="95pt"/>
                <w:b/>
                <w:sz w:val="24"/>
                <w:szCs w:val="24"/>
              </w:rPr>
              <w:t xml:space="preserve">1. Ценностные ориентации в отношении уважения к Родине, защите природы и </w:t>
            </w:r>
            <w:proofErr w:type="spellStart"/>
            <w:r w:rsidRPr="00F14993">
              <w:rPr>
                <w:rStyle w:val="95pt"/>
                <w:b/>
                <w:sz w:val="24"/>
                <w:szCs w:val="24"/>
              </w:rPr>
              <w:t>тп</w:t>
            </w:r>
            <w:proofErr w:type="spellEnd"/>
          </w:p>
        </w:tc>
      </w:tr>
      <w:tr w:rsidR="00B83B3E" w:rsidRPr="00F14993" w:rsidTr="00D02308">
        <w:trPr>
          <w:trHeight w:hRule="exact" w:val="73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3B3E" w:rsidRPr="00F14993" w:rsidRDefault="00B83B3E" w:rsidP="00B83B3E">
            <w:pPr>
              <w:pStyle w:val="4"/>
              <w:shd w:val="clear" w:color="auto" w:fill="auto"/>
              <w:spacing w:before="180" w:after="0" w:line="360" w:lineRule="exact"/>
              <w:ind w:left="240" w:firstLine="0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6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охваченных мероприятиями по гражданскому</w:t>
            </w:r>
          </w:p>
          <w:p w:rsidR="00B83B3E" w:rsidRPr="00F14993" w:rsidRDefault="00B83B3E" w:rsidP="00B83B3E">
            <w:pPr>
              <w:pStyle w:val="4"/>
              <w:shd w:val="clear" w:color="auto" w:fill="auto"/>
              <w:spacing w:before="60"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воспитанию;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240" w:lineRule="exact"/>
              <w:ind w:left="800" w:firstLine="0"/>
              <w:jc w:val="left"/>
            </w:pPr>
            <w:r w:rsidRPr="00F14993">
              <w:rPr>
                <w:rStyle w:val="12pt"/>
                <w:sz w:val="22"/>
                <w:szCs w:val="22"/>
              </w:rPr>
              <w:t>100%</w:t>
            </w:r>
          </w:p>
        </w:tc>
      </w:tr>
      <w:tr w:rsidR="00B83B3E" w:rsidRPr="00F14993" w:rsidTr="00D02308">
        <w:trPr>
          <w:trHeight w:hRule="exact" w:val="84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60" w:line="120" w:lineRule="exact"/>
              <w:ind w:firstLine="0"/>
            </w:pPr>
          </w:p>
          <w:p w:rsidR="00B83B3E" w:rsidRPr="00F14993" w:rsidRDefault="00B83B3E" w:rsidP="00B83B3E">
            <w:pPr>
              <w:pStyle w:val="4"/>
              <w:shd w:val="clear" w:color="auto" w:fill="auto"/>
              <w:spacing w:before="60" w:after="0" w:line="29" w:lineRule="exact"/>
              <w:ind w:left="240" w:firstLine="0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обучающихся в организациях дополнительного образования детей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экологобиологической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 xml:space="preserve"> направленности;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4,3%</w:t>
            </w:r>
          </w:p>
        </w:tc>
      </w:tr>
      <w:tr w:rsidR="00B83B3E" w:rsidRPr="00F14993" w:rsidTr="00D02308">
        <w:trPr>
          <w:trHeight w:hRule="exact" w:val="854"/>
          <w:jc w:val="center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48" w:lineRule="exact"/>
              <w:ind w:left="240" w:firstLine="0"/>
              <w:jc w:val="left"/>
            </w:pPr>
            <w:r w:rsidRPr="00F14993">
              <w:rPr>
                <w:rStyle w:val="65pt0pt"/>
                <w:sz w:val="22"/>
                <w:szCs w:val="22"/>
              </w:rPr>
              <w:t>т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 xml:space="preserve"> </w:t>
            </w:r>
            <w:r w:rsidRPr="00F14993">
              <w:rPr>
                <w:rStyle w:val="95pt"/>
                <w:sz w:val="22"/>
                <w:szCs w:val="22"/>
                <w:vertAlign w:val="superscript"/>
              </w:rPr>
              <w:t>В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</w:t>
            </w:r>
            <w:r w:rsidRPr="00F14993">
              <w:rPr>
                <w:rStyle w:val="ArialUnicodeMS6pt"/>
                <w:rFonts w:ascii="Times New Roman" w:hAnsi="Times New Roman" w:cs="Times New Roman"/>
                <w:sz w:val="22"/>
                <w:szCs w:val="22"/>
              </w:rPr>
              <w:t>Я</w:t>
            </w:r>
            <w:r w:rsidRPr="00F14993">
              <w:rPr>
                <w:rStyle w:val="7pt"/>
                <w:sz w:val="22"/>
                <w:szCs w:val="22"/>
              </w:rPr>
              <w:t xml:space="preserve"> </w:t>
            </w:r>
            <w:r w:rsidRPr="00F14993">
              <w:rPr>
                <w:rStyle w:val="95pt"/>
                <w:sz w:val="22"/>
                <w:szCs w:val="22"/>
              </w:rPr>
              <w:t>в</w:t>
            </w:r>
          </w:p>
          <w:p w:rsidR="00B83B3E" w:rsidRPr="00F14993" w:rsidRDefault="00B83B3E" w:rsidP="00B83B3E">
            <w:pPr>
              <w:pStyle w:val="4"/>
              <w:shd w:val="clear" w:color="auto" w:fill="auto"/>
              <w:spacing w:after="0" w:line="190" w:lineRule="exact"/>
              <w:ind w:firstLine="0"/>
              <w:jc w:val="left"/>
            </w:pPr>
          </w:p>
          <w:p w:rsidR="00B83B3E" w:rsidRPr="00F14993" w:rsidRDefault="00B83B3E" w:rsidP="00B83B3E">
            <w:pPr>
              <w:pStyle w:val="4"/>
              <w:shd w:val="clear" w:color="auto" w:fill="auto"/>
              <w:spacing w:after="0" w:line="380" w:lineRule="exact"/>
              <w:ind w:left="240" w:firstLine="0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ОО,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охваченных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программами патриотического воспитания;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B83B3E">
            <w:pPr>
              <w:pStyle w:val="4"/>
              <w:shd w:val="clear" w:color="auto" w:fill="auto"/>
              <w:spacing w:after="0" w:line="240" w:lineRule="exact"/>
              <w:ind w:left="800" w:firstLine="0"/>
              <w:jc w:val="left"/>
            </w:pPr>
            <w:r w:rsidRPr="00F14993">
              <w:rPr>
                <w:rStyle w:val="12pt"/>
                <w:sz w:val="22"/>
                <w:szCs w:val="22"/>
              </w:rPr>
              <w:t>100%</w:t>
            </w:r>
          </w:p>
        </w:tc>
      </w:tr>
    </w:tbl>
    <w:p w:rsidR="006E4E46" w:rsidRPr="00F14993" w:rsidRDefault="006E4E46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35"/>
        <w:gridCol w:w="6946"/>
        <w:gridCol w:w="1738"/>
      </w:tblGrid>
      <w:tr w:rsidR="00B83B3E" w:rsidRPr="00F14993" w:rsidTr="00D02308">
        <w:trPr>
          <w:trHeight w:hRule="exact" w:val="86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2660" w:hanging="2100"/>
              <w:jc w:val="left"/>
            </w:pPr>
            <w:r w:rsidRPr="00F14993">
              <w:rPr>
                <w:rStyle w:val="9pt"/>
                <w:sz w:val="22"/>
                <w:szCs w:val="22"/>
              </w:rPr>
              <w:t xml:space="preserve">2. Ценностные ориентации в отношении социального взаимодействия: уважение к человеку, важность семьи и дружбы и </w:t>
            </w:r>
            <w:proofErr w:type="spellStart"/>
            <w:r w:rsidRPr="00F14993">
              <w:rPr>
                <w:rStyle w:val="9pt"/>
                <w:sz w:val="22"/>
                <w:szCs w:val="22"/>
              </w:rPr>
              <w:t>тп</w:t>
            </w:r>
            <w:proofErr w:type="spellEnd"/>
            <w:proofErr w:type="gramStart"/>
            <w:r w:rsidRPr="00F14993">
              <w:rPr>
                <w:rStyle w:val="9pt"/>
                <w:sz w:val="22"/>
                <w:szCs w:val="22"/>
              </w:rPr>
              <w:t xml:space="preserve"> </w:t>
            </w:r>
            <w:r w:rsidRPr="00F14993">
              <w:rPr>
                <w:rStyle w:val="95pt"/>
                <w:sz w:val="22"/>
                <w:szCs w:val="22"/>
              </w:rPr>
              <w:t>:</w:t>
            </w:r>
            <w:proofErr w:type="gramEnd"/>
          </w:p>
        </w:tc>
      </w:tr>
      <w:tr w:rsidR="00B83B3E" w:rsidRPr="00F14993" w:rsidTr="00D02308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- доля ОО, в которых реализуются программы воспитания, направленные на социальную и культурную адаптацию детей, в том числе из семей мигрантов;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100%</w:t>
            </w:r>
          </w:p>
        </w:tc>
      </w:tr>
      <w:tr w:rsidR="00B83B3E" w:rsidRPr="00F14993" w:rsidTr="00D02308">
        <w:trPr>
          <w:trHeight w:hRule="exact" w:val="69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охваченных мероприятиями, направленными на развитие культуры межнационального общения;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100%</w:t>
            </w:r>
          </w:p>
        </w:tc>
      </w:tr>
      <w:tr w:rsidR="00B83B3E" w:rsidRPr="00F14993" w:rsidTr="00D02308">
        <w:trPr>
          <w:trHeight w:hRule="exact" w:val="922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proofErr w:type="gramStart"/>
            <w:r w:rsidRPr="00F14993">
              <w:rPr>
                <w:rStyle w:val="95pt"/>
                <w:sz w:val="22"/>
                <w:szCs w:val="22"/>
              </w:rPr>
              <w:t xml:space="preserve">- доля ОО, в которых созданы условия для просвещения и консультирования родителей по правовым, экономическим, медицинским,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психолого</w:t>
            </w:r>
            <w:r w:rsidRPr="00F14993">
              <w:rPr>
                <w:rStyle w:val="95pt"/>
                <w:sz w:val="22"/>
                <w:szCs w:val="22"/>
              </w:rPr>
              <w:softHyphen/>
              <w:t>педагогическим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 xml:space="preserve"> и иным вопросам семейного воспитания;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100%</w:t>
            </w:r>
          </w:p>
        </w:tc>
      </w:tr>
      <w:tr w:rsidR="00B83B3E" w:rsidRPr="00F14993" w:rsidTr="00D02308">
        <w:trPr>
          <w:trHeight w:hRule="exact" w:val="667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3160" w:hanging="212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3. </w:t>
            </w:r>
            <w:r w:rsidRPr="00F14993">
              <w:rPr>
                <w:rStyle w:val="9pt"/>
                <w:sz w:val="22"/>
                <w:szCs w:val="22"/>
              </w:rPr>
              <w:t>Ценностные отношения в отношении к здоровому образу жизни, в т.ч. информационная безопасность:</w:t>
            </w:r>
          </w:p>
        </w:tc>
      </w:tr>
      <w:tr w:rsidR="00B83B3E" w:rsidRPr="00F14993" w:rsidTr="00D02308">
        <w:trPr>
          <w:trHeight w:hRule="exact" w:val="56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обучающихся, охваченных уроками безопасности в информационно телекоммуникационной сети «Интернет»;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100%</w:t>
            </w:r>
          </w:p>
        </w:tc>
      </w:tr>
      <w:tr w:rsidR="00B83B3E" w:rsidRPr="00F14993" w:rsidTr="00D02308">
        <w:trPr>
          <w:trHeight w:hRule="exact" w:val="92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ОО, в которых организовано обучение детей основам информационной безопасности на системном уровне, включая участие в уроках безопасности информационно-телекоммуникационной сети «Интернет» и повышение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медиаграмотности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100%</w:t>
            </w:r>
          </w:p>
        </w:tc>
      </w:tr>
      <w:tr w:rsidR="00B83B3E" w:rsidRPr="00F14993" w:rsidTr="00D02308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родителей, охваченных мероприятиями, направленными на повышение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медийно-информационной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 xml:space="preserve"> культуры обучающихся и безопасность детей в информационно-телекоммуникационной сети "Интернет";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67%</w:t>
            </w:r>
          </w:p>
        </w:tc>
      </w:tr>
      <w:tr w:rsidR="00B83B3E" w:rsidRPr="00F14993" w:rsidTr="00D02308">
        <w:trPr>
          <w:trHeight w:hRule="exact" w:val="47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 w:rsidRPr="00F14993">
              <w:rPr>
                <w:rStyle w:val="9pt"/>
                <w:sz w:val="22"/>
                <w:szCs w:val="22"/>
              </w:rPr>
              <w:t>4. Ценностные отношения к культурному наследию</w:t>
            </w:r>
          </w:p>
        </w:tc>
      </w:tr>
      <w:tr w:rsidR="00B83B3E" w:rsidRPr="00F14993" w:rsidTr="00D02308">
        <w:trPr>
          <w:trHeight w:hRule="exact" w:val="47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школьников, участвующих в культурно-просветительских программах;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54,3%</w:t>
            </w:r>
          </w:p>
        </w:tc>
      </w:tr>
      <w:tr w:rsidR="00B83B3E" w:rsidRPr="00F14993" w:rsidTr="00D02308">
        <w:trPr>
          <w:trHeight w:hRule="exact" w:val="389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ОО, в которых реализуется детский культурно-познавательный туриз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м(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экскурсии);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100%</w:t>
            </w:r>
          </w:p>
        </w:tc>
      </w:tr>
      <w:tr w:rsidR="00B83B3E" w:rsidRPr="00F14993" w:rsidTr="00D02308">
        <w:trPr>
          <w:trHeight w:hRule="exact" w:val="427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5. </w:t>
            </w:r>
            <w:r w:rsidRPr="00F14993">
              <w:rPr>
                <w:rStyle w:val="9pt"/>
                <w:sz w:val="22"/>
                <w:szCs w:val="22"/>
              </w:rPr>
              <w:t>Ценностное отношение к важности образования и труда</w:t>
            </w:r>
          </w:p>
        </w:tc>
      </w:tr>
      <w:tr w:rsidR="00B83B3E" w:rsidRPr="00F14993" w:rsidTr="00D02308">
        <w:trPr>
          <w:trHeight w:hRule="exact" w:val="56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численность занимающихся в объединениях и научных обществах организаций дополнительного образования детей;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2772</w:t>
            </w:r>
          </w:p>
        </w:tc>
      </w:tr>
      <w:tr w:rsidR="00B83B3E" w:rsidRPr="00F14993" w:rsidTr="00D02308">
        <w:trPr>
          <w:trHeight w:hRule="exact" w:val="614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обучающихся, принимающих участие в субботниках, трудовых десантах и др. мероприятиях;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61%</w:t>
            </w:r>
          </w:p>
        </w:tc>
      </w:tr>
      <w:tr w:rsidR="00B83B3E" w:rsidRPr="00F14993" w:rsidTr="00D02308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840" w:hanging="220"/>
              <w:jc w:val="left"/>
            </w:pPr>
            <w:r w:rsidRPr="00F14993">
              <w:rPr>
                <w:rStyle w:val="9pt"/>
                <w:sz w:val="22"/>
                <w:szCs w:val="22"/>
              </w:rPr>
              <w:t xml:space="preserve">6. </w:t>
            </w:r>
            <w:proofErr w:type="gramStart"/>
            <w:r w:rsidRPr="00F14993">
              <w:rPr>
                <w:rStyle w:val="9pt"/>
                <w:sz w:val="22"/>
                <w:szCs w:val="22"/>
              </w:rPr>
              <w:t>Организация воспитательной среды (вовлечение детей в общественно полезную деятельность - развитие школьных спо</w:t>
            </w:r>
            <w:r w:rsidR="0053686B" w:rsidRPr="00F14993">
              <w:rPr>
                <w:rStyle w:val="9pt"/>
                <w:sz w:val="22"/>
                <w:szCs w:val="22"/>
              </w:rPr>
              <w:t>ртивных клубов, театров, музеев</w:t>
            </w:r>
            <w:r w:rsidRPr="00F14993">
              <w:rPr>
                <w:rStyle w:val="9pt"/>
                <w:sz w:val="22"/>
                <w:szCs w:val="22"/>
              </w:rPr>
              <w:t>.</w:t>
            </w:r>
            <w:proofErr w:type="gramEnd"/>
          </w:p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3620" w:firstLine="0"/>
              <w:jc w:val="left"/>
            </w:pPr>
          </w:p>
        </w:tc>
      </w:tr>
      <w:tr w:rsidR="00B83B3E" w:rsidRPr="00F14993" w:rsidTr="00D02308">
        <w:trPr>
          <w:trHeight w:hRule="exact" w:val="878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обслуженных детскими оздоровительными учреждениями (лагерями), от общего количества</w:t>
            </w:r>
          </w:p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детей;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53686B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76</w:t>
            </w:r>
            <w:r w:rsidR="00B83B3E" w:rsidRPr="00F14993">
              <w:rPr>
                <w:rStyle w:val="a4"/>
              </w:rPr>
              <w:t xml:space="preserve"> %</w:t>
            </w:r>
          </w:p>
        </w:tc>
      </w:tr>
      <w:tr w:rsidR="00B83B3E" w:rsidRPr="00F14993" w:rsidTr="00D02308">
        <w:trPr>
          <w:trHeight w:hRule="exact" w:val="56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- доля детей, занимающихся в школьных спортивных клубах;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53686B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30" w:lineRule="exact"/>
              <w:ind w:left="800" w:firstLine="0"/>
              <w:jc w:val="left"/>
            </w:pPr>
            <w:r w:rsidRPr="00F14993">
              <w:t>22%</w:t>
            </w:r>
          </w:p>
        </w:tc>
      </w:tr>
      <w:tr w:rsidR="00B83B3E" w:rsidRPr="00F14993" w:rsidTr="00D02308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граждан допризывного возраста (14-18 лет), прошедших подготовку в оборонно-спортивных лагерях, принявших участие в военно-спортивных мероприятиях, от общего числа граждан допризывного возраста;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27%</w:t>
            </w:r>
          </w:p>
        </w:tc>
      </w:tr>
      <w:tr w:rsidR="00B83B3E" w:rsidRPr="00F14993" w:rsidTr="00D02308">
        <w:trPr>
          <w:trHeight w:hRule="exact" w:val="840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B3E" w:rsidRPr="00F14993" w:rsidRDefault="00B83B3E" w:rsidP="0053686B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обучающихся, включенных в деятельность патриотических,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военно</w:t>
            </w:r>
            <w:r w:rsidRPr="00F14993">
              <w:rPr>
                <w:rStyle w:val="95pt"/>
                <w:sz w:val="22"/>
                <w:szCs w:val="22"/>
              </w:rPr>
              <w:softHyphen/>
              <w:t>патриотических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,</w:t>
            </w:r>
            <w:r w:rsidR="0053686B" w:rsidRPr="00F14993">
              <w:rPr>
                <w:rStyle w:val="95pt"/>
                <w:sz w:val="22"/>
                <w:szCs w:val="22"/>
              </w:rPr>
              <w:t xml:space="preserve"> поисковых организаций, клубов </w:t>
            </w:r>
            <w:r w:rsidRPr="00F14993">
              <w:rPr>
                <w:rStyle w:val="95pt"/>
                <w:sz w:val="22"/>
                <w:szCs w:val="22"/>
              </w:rPr>
              <w:t>и других объединений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52,4%</w:t>
            </w:r>
          </w:p>
        </w:tc>
      </w:tr>
      <w:tr w:rsidR="00B83B3E" w:rsidRPr="00F14993" w:rsidTr="00D02308">
        <w:trPr>
          <w:trHeight w:hRule="exact" w:val="941"/>
          <w:jc w:val="center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обучающихся, принявших участие в цикле всероссийских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онлай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н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-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уроков в рамках проекта «открытые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уроки.рф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», участников конкурсов «Большая перемена», «Без срока давности», участников проекта «Орлята России» и др.;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B3E" w:rsidRPr="00F14993" w:rsidRDefault="00B83B3E" w:rsidP="00D02308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</w:rPr>
              <w:t>87%</w:t>
            </w:r>
          </w:p>
        </w:tc>
      </w:tr>
    </w:tbl>
    <w:p w:rsidR="00B83B3E" w:rsidRPr="00F14993" w:rsidRDefault="00B83B3E" w:rsidP="00B83B3E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6"/>
        <w:gridCol w:w="6946"/>
        <w:gridCol w:w="1723"/>
      </w:tblGrid>
      <w:tr w:rsidR="0053686B" w:rsidRPr="00F14993" w:rsidTr="002769E1">
        <w:trPr>
          <w:trHeight w:hRule="exact" w:val="1176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ОО, в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которых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действует орган школьного самоуправления;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</w:rPr>
              <w:t>88%</w:t>
            </w:r>
          </w:p>
        </w:tc>
      </w:tr>
      <w:tr w:rsidR="0053686B" w:rsidRPr="00F14993" w:rsidTr="00D02308">
        <w:trPr>
          <w:trHeight w:hRule="exact" w:val="538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3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обучающихся, вовлеченных в деятельность общественных объединений на базе образовательных организаций общего/профессионального/дополнительного образования и др.;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</w:rPr>
              <w:t>41%</w:t>
            </w:r>
          </w:p>
        </w:tc>
      </w:tr>
      <w:tr w:rsidR="0053686B" w:rsidRPr="00F14993" w:rsidTr="00D02308">
        <w:trPr>
          <w:trHeight w:hRule="exact" w:val="83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6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родителей (по ОО), включенных в деятельность общественных объединений родителей обучающихся (совет/общественная организация);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</w:rPr>
              <w:t>3%</w:t>
            </w:r>
          </w:p>
        </w:tc>
      </w:tr>
      <w:tr w:rsidR="0053686B" w:rsidRPr="00F14993" w:rsidTr="002769E1">
        <w:trPr>
          <w:trHeight w:hRule="exact" w:val="83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включенных в волонтерскую деятельность.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</w:rPr>
              <w:t>15%</w:t>
            </w:r>
          </w:p>
        </w:tc>
      </w:tr>
      <w:tr w:rsidR="0053686B" w:rsidRPr="00F14993" w:rsidTr="00D02308">
        <w:trPr>
          <w:trHeight w:hRule="exact" w:val="547"/>
          <w:jc w:val="center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86B" w:rsidRPr="00F14993" w:rsidRDefault="0053686B" w:rsidP="00D02308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</w:p>
        </w:tc>
      </w:tr>
    </w:tbl>
    <w:p w:rsidR="00B83B3E" w:rsidRPr="00F14993" w:rsidRDefault="00B83B3E">
      <w:pPr>
        <w:rPr>
          <w:rFonts w:ascii="Times New Roman" w:hAnsi="Times New Roman" w:cs="Times New Roman"/>
          <w:sz w:val="24"/>
          <w:szCs w:val="24"/>
        </w:rPr>
      </w:pPr>
    </w:p>
    <w:sectPr w:rsidR="00B83B3E" w:rsidRPr="00F14993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3E"/>
    <w:rsid w:val="00014DD3"/>
    <w:rsid w:val="0008676D"/>
    <w:rsid w:val="00091416"/>
    <w:rsid w:val="000D67E0"/>
    <w:rsid w:val="00176330"/>
    <w:rsid w:val="001A1D17"/>
    <w:rsid w:val="001E474C"/>
    <w:rsid w:val="00212980"/>
    <w:rsid w:val="00237824"/>
    <w:rsid w:val="0026661D"/>
    <w:rsid w:val="0028292E"/>
    <w:rsid w:val="002D75DF"/>
    <w:rsid w:val="002F35D0"/>
    <w:rsid w:val="00302E77"/>
    <w:rsid w:val="00312D76"/>
    <w:rsid w:val="003C5ABE"/>
    <w:rsid w:val="003F5BC6"/>
    <w:rsid w:val="00444224"/>
    <w:rsid w:val="004734F7"/>
    <w:rsid w:val="004F059A"/>
    <w:rsid w:val="00524517"/>
    <w:rsid w:val="0053686B"/>
    <w:rsid w:val="005556F2"/>
    <w:rsid w:val="00564FC0"/>
    <w:rsid w:val="005740B4"/>
    <w:rsid w:val="0059646A"/>
    <w:rsid w:val="005A6C81"/>
    <w:rsid w:val="005D78CE"/>
    <w:rsid w:val="006E4E46"/>
    <w:rsid w:val="00721C9A"/>
    <w:rsid w:val="00741AA1"/>
    <w:rsid w:val="007C2BE0"/>
    <w:rsid w:val="007E4B43"/>
    <w:rsid w:val="0082149C"/>
    <w:rsid w:val="00825650"/>
    <w:rsid w:val="008A2BD0"/>
    <w:rsid w:val="008A3CE9"/>
    <w:rsid w:val="008C78AD"/>
    <w:rsid w:val="0095065A"/>
    <w:rsid w:val="00977F40"/>
    <w:rsid w:val="009A4BBC"/>
    <w:rsid w:val="009E6A16"/>
    <w:rsid w:val="009E6B2A"/>
    <w:rsid w:val="009F4930"/>
    <w:rsid w:val="00A07114"/>
    <w:rsid w:val="00A5764E"/>
    <w:rsid w:val="00AE4CCA"/>
    <w:rsid w:val="00B83B3E"/>
    <w:rsid w:val="00BA3807"/>
    <w:rsid w:val="00CA52C2"/>
    <w:rsid w:val="00CA67FB"/>
    <w:rsid w:val="00CC4749"/>
    <w:rsid w:val="00D35589"/>
    <w:rsid w:val="00DA1E5F"/>
    <w:rsid w:val="00E55499"/>
    <w:rsid w:val="00F14993"/>
    <w:rsid w:val="00F5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83B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B83B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_"/>
    <w:basedOn w:val="a0"/>
    <w:rsid w:val="00B83B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"/>
    <w:basedOn w:val="10"/>
    <w:rsid w:val="00B83B3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B83B3E"/>
    <w:pPr>
      <w:widowControl w:val="0"/>
      <w:shd w:val="clear" w:color="auto" w:fill="FFFFFF"/>
      <w:spacing w:after="54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Подпись к таблице (2)_"/>
    <w:basedOn w:val="a0"/>
    <w:rsid w:val="00B83B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Подпись к таблице (2)"/>
    <w:basedOn w:val="2"/>
    <w:rsid w:val="00B83B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B83B3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3"/>
    <w:rsid w:val="00B83B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pt">
    <w:name w:val="Основной текст + 19 pt;Курсив"/>
    <w:basedOn w:val="a3"/>
    <w:rsid w:val="00B83B3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pt">
    <w:name w:val="Основной текст + 12 pt;Полужирный"/>
    <w:basedOn w:val="a3"/>
    <w:rsid w:val="00B83B3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pt0pt">
    <w:name w:val="Основной текст + 6;5 pt;Курсив;Интервал 0 pt"/>
    <w:basedOn w:val="a3"/>
    <w:rsid w:val="00B83B3E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UnicodeMS16pt0pt60">
    <w:name w:val="Основной текст + Arial Unicode MS;16 pt;Курсив;Интервал 0 pt;Масштаб 60%"/>
    <w:basedOn w:val="a3"/>
    <w:rsid w:val="00B83B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60"/>
      <w:position w:val="0"/>
      <w:sz w:val="32"/>
      <w:szCs w:val="32"/>
      <w:u w:val="none"/>
      <w:lang w:val="en-US" w:eastAsia="en-US" w:bidi="en-US"/>
    </w:rPr>
  </w:style>
  <w:style w:type="character" w:customStyle="1" w:styleId="18pt">
    <w:name w:val="Основной текст + 18 pt"/>
    <w:basedOn w:val="a3"/>
    <w:rsid w:val="00B83B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ArialUnicodeMS6pt">
    <w:name w:val="Основной текст + Arial Unicode MS;6 pt;Курсив"/>
    <w:basedOn w:val="a3"/>
    <w:rsid w:val="00B83B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pt">
    <w:name w:val="Основной текст + 7 pt"/>
    <w:basedOn w:val="a3"/>
    <w:rsid w:val="00B83B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3"/>
    <w:rsid w:val="00B83B3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2022-08-18T12:48:00Z</dcterms:created>
  <dcterms:modified xsi:type="dcterms:W3CDTF">2022-08-18T13:07:00Z</dcterms:modified>
</cp:coreProperties>
</file>