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58" w:rsidRDefault="00CD1958" w:rsidP="00CD1958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ПОЛОЖЕНИЕ </w:t>
      </w:r>
    </w:p>
    <w:p w:rsidR="00CD1958" w:rsidRDefault="00CD1958" w:rsidP="00CD1958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 МУНИЦИПАЛЬНОЙ  ИННОВАЦИОННОЙ ПЛОЩАДКЕ</w:t>
      </w:r>
    </w:p>
    <w:p w:rsidR="00CD1958" w:rsidRDefault="00CD1958" w:rsidP="00CD195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Style w:val="a8"/>
          <w:sz w:val="28"/>
        </w:rPr>
        <w:t>I. Общие положения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Настоящее Положение определяет основные направления деятельности муниципальных инновационных площадок (МИП) в системе образования Миллеровского района, условия и порядок присвоения статуса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муни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ципальной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инновационной площадки учреждению системы образования, деятельность которого направлена на осуществление культурно-образовательной инициативы, имеющей существенное значение для  реализации перспективных задач по модернизации образования, по выполнению основных положений Федеральных, региональных и муниципальных программ развития образования.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Муниципальный статус культурно-образовательной инициативы определяется значимостью инновационного проекта для решения проблем муниципальной системы образования, поиска путей качественных преобразований и научно-исследовательских обоснований лучших практик, обеспечивающих формирование общечеловеческих ценностей, демократических принципов жизни, гражданской ответственности, способности к самоопределению и саморазвитию.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Деятельность МИП должна быть направлена на выполнение приоритетных комплексных инновационных исследований и разработок по проблемам образования:</w:t>
      </w:r>
    </w:p>
    <w:p w:rsidR="00CD1958" w:rsidRDefault="00CD1958" w:rsidP="00CD195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новых моделей содержания образования и системы воспитания;</w:t>
      </w:r>
    </w:p>
    <w:p w:rsidR="00CD1958" w:rsidRDefault="00CD1958" w:rsidP="00CD195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разработка и апробация новых педагогических и управленческих технологий; </w:t>
      </w:r>
    </w:p>
    <w:p w:rsidR="00CD1958" w:rsidRDefault="00CD1958" w:rsidP="00CD195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системы оценки качества образования в контексте современных образовательных результатов;</w:t>
      </w:r>
    </w:p>
    <w:p w:rsidR="00CD1958" w:rsidRDefault="00CD1958" w:rsidP="00CD195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экономических отношений в сфере образования;</w:t>
      </w:r>
    </w:p>
    <w:p w:rsidR="00CD1958" w:rsidRDefault="00CD1958" w:rsidP="00CD195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расширение социального пространства и участие гражданских институтов в реализации стратегических задач инновационного развития образования. 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1.4. Автором (авторами) инициативы могут быть педагогические коллективы, а также образовательные учреждения всех форм собственности,  общественные организации и объединения.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</w:p>
    <w:p w:rsidR="00CD1958" w:rsidRDefault="00CD1958" w:rsidP="00CD1958">
      <w:pPr>
        <w:pStyle w:val="a3"/>
        <w:jc w:val="center"/>
        <w:rPr>
          <w:rStyle w:val="a8"/>
        </w:rPr>
      </w:pPr>
      <w:r>
        <w:rPr>
          <w:rStyle w:val="a8"/>
          <w:sz w:val="28"/>
        </w:rPr>
        <w:t>2. Муниципальная инновационная площадка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2.1. МИП могут создаваться на базе образовательных учреждений всех форм собственности и организационно-правового устройства. 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Инновационная деятельность МИП организуется в рамках одного или нескольких инициативных проектов по самостоятельно избранным темам, </w:t>
      </w:r>
      <w:r>
        <w:rPr>
          <w:rFonts w:ascii="Times New Roman" w:hAnsi="Times New Roman" w:cs="Times New Roman"/>
          <w:sz w:val="28"/>
        </w:rPr>
        <w:lastRenderedPageBreak/>
        <w:t>если последние имеют существенное значение для решения перспективных задач развития образования.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Статус МИП дает образовательному учреждению право вносить изменения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>:</w:t>
      </w:r>
    </w:p>
    <w:p w:rsidR="00CD1958" w:rsidRDefault="00CD1958" w:rsidP="00CD1958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цели, содержание, способы, систему средств воспитания и обучения;</w:t>
      </w:r>
    </w:p>
    <w:p w:rsidR="00CD1958" w:rsidRDefault="00CD1958" w:rsidP="00CD1958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формы подготовки и переподготовки педагогических кадров;</w:t>
      </w:r>
    </w:p>
    <w:p w:rsidR="00CD1958" w:rsidRDefault="00CD1958" w:rsidP="00CD1958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режим функционирования образовательного учреждения;</w:t>
      </w:r>
    </w:p>
    <w:p w:rsidR="00CD1958" w:rsidRDefault="00CD1958" w:rsidP="00CD1958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систему управления образовательным учреждением;</w:t>
      </w:r>
    </w:p>
    <w:p w:rsidR="00CD1958" w:rsidRDefault="00CD1958" w:rsidP="00CD1958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систему оценивания образовательных результатов;</w:t>
      </w:r>
    </w:p>
    <w:p w:rsidR="00CD1958" w:rsidRDefault="00CD1958" w:rsidP="00CD1958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систему оплаты труда.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Статус МИП предполагает одновременное наличие в образовательном учреждении взаимосвязанных системных процессов функционирования традиционного образования и становления (развития) новой образовательной практики. Преднамеренное изменение составляющих  образовательного процесса должно сопровождаться систематическим отслеживанием эффективности нововведения, измерением наблюдаемых изменений, анализом полученных данных, обобщением и транслированием результата.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2.5. Вносимые изменения не должны наносить ущерб здоровью, уровню и качеству подготовки обучающихся и воспитанников, нарушать права участников образовательного процесса.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2.6. Выдвижение образовательной инициативы несколькими авторами, представляющими различные организации, сопровождается договором сотрудничества между этими организациями.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2.7. Статус МИП присваивается на срок  не более 3-х лет.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2.8. Присвоение статуса МИП не влечет за собой изменения статуса образовательного учреждения, его организационно-правовой формы и подчиненности.</w:t>
      </w:r>
    </w:p>
    <w:p w:rsidR="00CD1958" w:rsidRDefault="00CD1958" w:rsidP="00CD195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Style w:val="a8"/>
          <w:sz w:val="28"/>
        </w:rPr>
        <w:t>3. Порядок присвоения статуса муниципальной инновационной площадки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3.1.Для присвоения статуса МИП автор (авторы) обращаются в Экспертный совет МУ Управление образования Миллеровского района с письменной заявкой (Приложение 1), согласованной с учредителем. Вместе с заявкой в Экспертный совет предоставляется инновационный образовательный проект, который включает в себя обоснование актуальности проекта, анализ исходной ситуации, постановку проблемы, сущность проектного предложения, ключевые мероприятия, ожидаемые результаты.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3.2. Сроки подачи заявок на присвоение статуса не ограничены.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</w:t>
      </w:r>
      <w:r>
        <w:rPr>
          <w:rFonts w:ascii="Times New Roman" w:hAnsi="Times New Roman" w:cs="Times New Roman"/>
          <w:i/>
          <w:iCs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Секретарь Экспертного совета фиксирует заявку в журнале регистрации, проводит первичную оценку проекта, согласует кандидатуры экспертов с председателем комиссии, передает проект экспертной группе.</w:t>
      </w:r>
    </w:p>
    <w:p w:rsidR="00CD1958" w:rsidRDefault="00CD1958" w:rsidP="00CD1958">
      <w:pPr>
        <w:pStyle w:val="a3"/>
        <w:tabs>
          <w:tab w:val="num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 В состав экспертной группы могут входить представители МУ Управление образования Миллеровского района; МОУ «Методический и ресурсный центр» педагогические работники, имеющие высокую квалификацию, представители общественных организаций, органов общественного самоуправления образовательным учреждением (не менее 3 человек). </w:t>
      </w:r>
    </w:p>
    <w:p w:rsidR="00CD1958" w:rsidRDefault="00CD1958" w:rsidP="00CD1958">
      <w:pPr>
        <w:pStyle w:val="a3"/>
        <w:tabs>
          <w:tab w:val="num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3.5. Экспертная группа проводит оценку значимости инициативы, экспертизу инновационного и ресурсного потенциала образовательного проекта с использованием следующих основных требований:</w:t>
      </w:r>
    </w:p>
    <w:p w:rsidR="00CD1958" w:rsidRDefault="00CD1958" w:rsidP="00CD195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степень актуальности, соответствие государственным,  региональным и муниципальным приоритетам в области образования;</w:t>
      </w:r>
    </w:p>
    <w:p w:rsidR="00CD1958" w:rsidRDefault="00CD1958" w:rsidP="00CD195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новизна проекта;</w:t>
      </w:r>
    </w:p>
    <w:p w:rsidR="00CD1958" w:rsidRDefault="00CD1958" w:rsidP="00CD195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здоровье сберегающие характеристики;</w:t>
      </w:r>
    </w:p>
    <w:p w:rsidR="00CD1958" w:rsidRDefault="00CD1958" w:rsidP="00CD195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научность и системность;</w:t>
      </w:r>
    </w:p>
    <w:p w:rsidR="00CD1958" w:rsidRDefault="00CD1958" w:rsidP="00CD195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реалистичность с точки зрения ресурсов;</w:t>
      </w:r>
    </w:p>
    <w:p w:rsidR="00CD1958" w:rsidRDefault="00CD1958" w:rsidP="00CD195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степень контролируемости и </w:t>
      </w:r>
      <w:proofErr w:type="spellStart"/>
      <w:r>
        <w:rPr>
          <w:rFonts w:ascii="Times New Roman" w:hAnsi="Times New Roman" w:cs="Times New Roman"/>
          <w:sz w:val="28"/>
        </w:rPr>
        <w:t>транслируемости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CD1958" w:rsidRDefault="00CD1958" w:rsidP="00CD195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соблюдение формальной структуры.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3.6. Результаты экспертизы оформляются в виде заключения экспертной группы. Заключение подписывается всеми членами экспертной группы с указанием особого мнения в случае несогласия кого-либо с принятым решением.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3.7. Материалы экспертизы рассматриваются Экспертным советом, который на основе публичной защиты проекта и коллегиального обсуждения представленных материалов выносит решение о ходатайстве перед МУ Управление образования Миллеровского района о присвоении статуса МИП или отказе в присвоении статуса. </w:t>
      </w:r>
    </w:p>
    <w:p w:rsidR="00CD1958" w:rsidRDefault="00CD1958" w:rsidP="00CD1958">
      <w:pPr>
        <w:jc w:val="both"/>
        <w:rPr>
          <w:sz w:val="28"/>
        </w:rPr>
      </w:pPr>
      <w:r>
        <w:rPr>
          <w:sz w:val="28"/>
          <w:szCs w:val="28"/>
        </w:rPr>
        <w:t>3.8.</w:t>
      </w:r>
      <w:r>
        <w:rPr>
          <w:sz w:val="28"/>
        </w:rPr>
        <w:t xml:space="preserve"> Решение принимается большинством голосов открытым голосованием и считается принятым, если в голосовании участвовало не менее двух третей состава. При равенстве голосов решение считается принятым в пользу авторов инициативы. Авторы имеют право лично присутствовать при принятии решения. </w:t>
      </w:r>
    </w:p>
    <w:p w:rsidR="00CD1958" w:rsidRDefault="00CD1958" w:rsidP="00CD1958">
      <w:pPr>
        <w:jc w:val="both"/>
        <w:rPr>
          <w:sz w:val="28"/>
        </w:rPr>
      </w:pPr>
      <w:r>
        <w:rPr>
          <w:sz w:val="28"/>
        </w:rPr>
        <w:t xml:space="preserve">3.9.По результатам работы Экспертный совет  выносит следующие решения: </w:t>
      </w:r>
    </w:p>
    <w:p w:rsidR="00CD1958" w:rsidRDefault="00CD1958" w:rsidP="00CD1958">
      <w:pPr>
        <w:ind w:firstLine="709"/>
        <w:jc w:val="both"/>
        <w:rPr>
          <w:sz w:val="28"/>
        </w:rPr>
      </w:pPr>
      <w:r>
        <w:rPr>
          <w:sz w:val="28"/>
        </w:rPr>
        <w:t xml:space="preserve">а) рекомендовать МУ Управление образования Миллеровского района присвоить статус муниципальной инновационной площадки; </w:t>
      </w:r>
    </w:p>
    <w:p w:rsidR="00CD1958" w:rsidRDefault="00CD1958" w:rsidP="00CD1958">
      <w:pPr>
        <w:ind w:firstLine="709"/>
        <w:jc w:val="both"/>
        <w:rPr>
          <w:sz w:val="28"/>
        </w:rPr>
      </w:pPr>
      <w:r>
        <w:rPr>
          <w:sz w:val="28"/>
        </w:rPr>
        <w:t>б) присвоение статуса муниципальной инновационной площадки нецелесообразно.</w:t>
      </w:r>
    </w:p>
    <w:p w:rsidR="00CD1958" w:rsidRDefault="00CD1958" w:rsidP="00CD1958">
      <w:pPr>
        <w:pStyle w:val="a4"/>
        <w:jc w:val="both"/>
        <w:rPr>
          <w:sz w:val="28"/>
        </w:rPr>
      </w:pPr>
      <w:r>
        <w:rPr>
          <w:sz w:val="28"/>
        </w:rPr>
        <w:t>3.10. Решение Экспертного совета оформляется протоколом. В протоколе указывается обоснование принятия решения и предложения (в случае необходимости) по кадровому, научному, организационному, материально-техническому, правовому и финансовому обеспечению рассмотренного инновационного образовательного проекта.</w:t>
      </w:r>
      <w:r>
        <w:rPr>
          <w:sz w:val="28"/>
        </w:rPr>
        <w:br/>
        <w:t>Протокол подписывается председателем, заместителем председателя, секретарем и членами Экспертного совета, принимавшими участие в голосовании.</w:t>
      </w:r>
      <w:r>
        <w:rPr>
          <w:sz w:val="28"/>
        </w:rPr>
        <w:br/>
        <w:t xml:space="preserve"> 3.11. На основании решения Экспертного совета МУ Управление образования Миллеровского района издает приказ о предоставлении образовательному учреждению статуса муниципальной инновационной площадки.</w:t>
      </w:r>
    </w:p>
    <w:p w:rsidR="00CD1958" w:rsidRDefault="00CD1958" w:rsidP="00CD1958">
      <w:pPr>
        <w:pStyle w:val="a3"/>
        <w:tabs>
          <w:tab w:val="num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3.12. Экспертиза проекта проводится в течение месяца с момента подачи заявки.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3.13.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Экспертным советом о нецелесообразности внедрения (доработке) инновационного образовательного проекта </w:t>
      </w:r>
      <w:r>
        <w:rPr>
          <w:rFonts w:ascii="Times New Roman" w:hAnsi="Times New Roman" w:cs="Times New Roman"/>
          <w:sz w:val="28"/>
        </w:rPr>
        <w:t>автор (авторы) может подать заявку в МУ Управление образования Миллеровского района повторно не ранее, чем через год.</w:t>
      </w:r>
    </w:p>
    <w:p w:rsidR="00CD1958" w:rsidRDefault="00CD1958" w:rsidP="00CD1958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4. Права и обязанности</w:t>
      </w:r>
    </w:p>
    <w:p w:rsidR="00CD1958" w:rsidRDefault="00CD1958" w:rsidP="00CD1958">
      <w:pPr>
        <w:pStyle w:val="a6"/>
        <w:rPr>
          <w:sz w:val="28"/>
        </w:rPr>
      </w:pPr>
      <w:r>
        <w:rPr>
          <w:sz w:val="28"/>
        </w:rPr>
        <w:t>4.1. Коллектив областной  инновационной площадки имеет право:</w:t>
      </w:r>
    </w:p>
    <w:p w:rsidR="00CD1958" w:rsidRDefault="00CD1958" w:rsidP="00CD195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на финансирование инновационной деятельности в рамках муниципальных и региональных целевых программ;</w:t>
      </w:r>
    </w:p>
    <w:p w:rsidR="00CD1958" w:rsidRDefault="00CD1958" w:rsidP="00CD1958">
      <w:pPr>
        <w:pStyle w:val="a4"/>
        <w:numPr>
          <w:ilvl w:val="0"/>
          <w:numId w:val="4"/>
        </w:numPr>
        <w:spacing w:after="0"/>
        <w:jc w:val="both"/>
        <w:rPr>
          <w:sz w:val="28"/>
        </w:rPr>
      </w:pPr>
      <w:r>
        <w:rPr>
          <w:sz w:val="28"/>
        </w:rPr>
        <w:t>на содействие со стороны  МУ Управление образования Миллеровского района, в вопросах первоочередного повышения квалификации педагогов и администрации в соответствии с заявленным направлением инновационной деятельности;</w:t>
      </w:r>
    </w:p>
    <w:p w:rsidR="00CD1958" w:rsidRDefault="00CD1958" w:rsidP="00CD195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на  информационное  и  методическое сопровождение инновационной деятельности методистами МОУ «Методический и ресурсный центр»;</w:t>
      </w:r>
    </w:p>
    <w:p w:rsidR="00CD1958" w:rsidRDefault="00CD1958" w:rsidP="00CD195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на установление партнерских отношений с научно-исследовательскими институтами, методическими организациями (службами), учреждениями высшего профессионального образования;</w:t>
      </w:r>
    </w:p>
    <w:p w:rsidR="00CD1958" w:rsidRDefault="00CD1958" w:rsidP="00CD195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на получение рекомендаций, заключений Экспертного совета при аттестации педагогических и управленческих кадров, аккредитации образовательного учреждения.</w:t>
      </w:r>
    </w:p>
    <w:p w:rsidR="00CD1958" w:rsidRDefault="00CD1958" w:rsidP="00CD1958">
      <w:pPr>
        <w:pStyle w:val="21"/>
        <w:ind w:left="720" w:hanging="720"/>
        <w:rPr>
          <w:b w:val="0"/>
          <w:sz w:val="28"/>
        </w:rPr>
      </w:pPr>
      <w:r>
        <w:rPr>
          <w:b w:val="0"/>
          <w:sz w:val="28"/>
        </w:rPr>
        <w:t>4.2. Коллектив муниципальной инновационной площадки обязан:</w:t>
      </w:r>
    </w:p>
    <w:p w:rsidR="00CD1958" w:rsidRDefault="00CD1958" w:rsidP="00CD19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обеспечивать в рамках проекта уровень и качество подготовки выпускников не ниже требований федеральных государственных образовательных стандартов;</w:t>
      </w:r>
    </w:p>
    <w:p w:rsidR="00CD1958" w:rsidRDefault="00CD1958" w:rsidP="00CD19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осуществлять инновационную деятельность в  соответствии с заявленным образовательным проектом;</w:t>
      </w:r>
    </w:p>
    <w:p w:rsidR="00CD1958" w:rsidRDefault="00CD1958" w:rsidP="00CD19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представлять ежегодно отчет о результатах работы в Экспертный  совет в соответствии с индивидуальной программой мониторинга;</w:t>
      </w:r>
    </w:p>
    <w:p w:rsidR="00CD1958" w:rsidRDefault="00CD1958" w:rsidP="00CD19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своевременно информировать МУ Управление образования Миллеровского района об изменениях и проблемах в ходе реализации образовательного проекта;</w:t>
      </w:r>
    </w:p>
    <w:p w:rsidR="00CD1958" w:rsidRDefault="00CD1958" w:rsidP="00CD19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обеспечивать  прохождение  экспертизы хода реализации образовательного проекта в сроки и в формах, согласованных с Экспертным советом;</w:t>
      </w:r>
    </w:p>
    <w:p w:rsidR="00CD1958" w:rsidRDefault="00CD1958" w:rsidP="00CD1958">
      <w:pPr>
        <w:pStyle w:val="a4"/>
        <w:numPr>
          <w:ilvl w:val="0"/>
          <w:numId w:val="5"/>
        </w:numPr>
        <w:spacing w:after="0"/>
        <w:jc w:val="both"/>
        <w:rPr>
          <w:sz w:val="28"/>
        </w:rPr>
      </w:pPr>
      <w:proofErr w:type="gramStart"/>
      <w:r>
        <w:rPr>
          <w:sz w:val="28"/>
        </w:rPr>
        <w:t>оформлять результаты инновационной деятельности  в  виде научных и методических разработок, учебных планов,  образовательных  программ,  проектов, моделей, образовательных результатов, технологий, локальных актов, педагогических измерителей, банка диагностик, новых методик и т.д.</w:t>
      </w:r>
      <w:proofErr w:type="gramEnd"/>
    </w:p>
    <w:p w:rsidR="00CD1958" w:rsidRDefault="00CD1958" w:rsidP="00CD1958">
      <w:pPr>
        <w:pStyle w:val="a4"/>
        <w:ind w:left="357"/>
        <w:jc w:val="both"/>
        <w:rPr>
          <w:b/>
          <w:sz w:val="28"/>
        </w:rPr>
      </w:pPr>
    </w:p>
    <w:p w:rsidR="00CD1958" w:rsidRDefault="00CD1958" w:rsidP="00CD1958">
      <w:pPr>
        <w:pStyle w:val="a3"/>
        <w:spacing w:before="0" w:beforeAutospacing="0" w:after="0" w:afterAutospacing="0"/>
        <w:jc w:val="center"/>
        <w:rPr>
          <w:rStyle w:val="a8"/>
        </w:rPr>
      </w:pPr>
      <w:r>
        <w:rPr>
          <w:rStyle w:val="a8"/>
          <w:sz w:val="28"/>
        </w:rPr>
        <w:t>5. Управление муниципальной инновационной площадкой</w:t>
      </w:r>
    </w:p>
    <w:p w:rsidR="00CD1958" w:rsidRDefault="00CD1958" w:rsidP="00CD1958">
      <w:pPr>
        <w:jc w:val="both"/>
      </w:pPr>
      <w:r>
        <w:rPr>
          <w:sz w:val="28"/>
        </w:rPr>
        <w:t>5.1.</w:t>
      </w:r>
      <w:r>
        <w:t xml:space="preserve"> </w:t>
      </w:r>
      <w:r>
        <w:rPr>
          <w:sz w:val="28"/>
        </w:rPr>
        <w:t xml:space="preserve">Заявка образовательного учреждения, претендующего на статус  муниципальной инновационной площадки, согласуется с МУ Управление образования Миллеровского района (учредителем). </w:t>
      </w:r>
    </w:p>
    <w:p w:rsidR="00CD1958" w:rsidRDefault="00CD1958" w:rsidP="00CD1958">
      <w:pPr>
        <w:jc w:val="both"/>
        <w:rPr>
          <w:sz w:val="28"/>
        </w:rPr>
      </w:pPr>
      <w:r>
        <w:rPr>
          <w:sz w:val="28"/>
        </w:rPr>
        <w:t>5.2. После получения образовательным учреждением статуса МИП начальник МУ Управление образования Миллеровского района,  издает приказ о комплексной поддержке инновационной площадки.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5.3. Для управления муниципальной  инновационной площадкой создается Совет  на уровне образовательного учреждения. Состав, организационная структура Совета определяются коллективом учреждения. Совет планирует работу в соответствии с инновационным проектом, осуществляет мониторинг реализации проекта, организует подготовку ежегодного аналитического отчета об инновационной деятельности.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5.4. МОУ «Методический и ресурсный центр» готовит ежегодный аналитический  доклад о деятельности МИП; разрабатывает предложения о проведении экспертиз промежуточных результатов инновационной деятельности для Экспертного Совета МУ Управление образования Миллеровского района. </w:t>
      </w:r>
    </w:p>
    <w:p w:rsidR="00CD1958" w:rsidRDefault="00CD1958" w:rsidP="00CD195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5.5. Статус МИП может быть снят по рекомендации Экспертного Совета в случае: </w:t>
      </w:r>
    </w:p>
    <w:p w:rsidR="00CD1958" w:rsidRDefault="00CD1958" w:rsidP="00CD195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ненадлежащего исполнения принятых МИП обязательств, зафиксированных в образовательном проекте;</w:t>
      </w:r>
    </w:p>
    <w:p w:rsidR="00CD1958" w:rsidRDefault="00CD1958" w:rsidP="00CD195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получения промежуточных результатов, свидетельствующих о невозможности или нецелесообразности продолжения реализации проекта, выявления случаев нарушения действующего законодательства;</w:t>
      </w:r>
    </w:p>
    <w:p w:rsidR="00CD1958" w:rsidRDefault="00CD1958" w:rsidP="00CD195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завершения реализации инновационного образовательного проекта в соответствии с заявленными сроками.</w:t>
      </w:r>
    </w:p>
    <w:p w:rsidR="00CD1958" w:rsidRDefault="00CD1958" w:rsidP="00CD1958">
      <w:pPr>
        <w:jc w:val="both"/>
        <w:rPr>
          <w:sz w:val="28"/>
        </w:rPr>
      </w:pPr>
      <w:r>
        <w:rPr>
          <w:sz w:val="28"/>
        </w:rPr>
        <w:t>5.6. Экспертный совет:</w:t>
      </w:r>
    </w:p>
    <w:p w:rsidR="00CD1958" w:rsidRDefault="00CD1958" w:rsidP="00CD1958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определяет приоритетные практико-ориентированные направления деятельности МИП;</w:t>
      </w:r>
    </w:p>
    <w:p w:rsidR="00CD1958" w:rsidRDefault="00CD1958" w:rsidP="00CD1958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готовит предложения по использованию результатов инновационной деятельности в педагогической практике;</w:t>
      </w:r>
    </w:p>
    <w:p w:rsidR="00CD1958" w:rsidRDefault="00CD1958" w:rsidP="00CD1958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>информирует педагогическую общественность о реализуемых инновационных проектах;</w:t>
      </w:r>
    </w:p>
    <w:p w:rsidR="00CD1958" w:rsidRDefault="00CD1958" w:rsidP="00CD1958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>готовит предложения о поддержке инновационных проектов, представляющих значимость для развития муниципальной системы образования;</w:t>
      </w:r>
    </w:p>
    <w:p w:rsidR="00CD1958" w:rsidRDefault="00CD1958" w:rsidP="00CD1958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>утверждает ежегодный аналитический отчет о результатах деятельности МИП.</w:t>
      </w:r>
    </w:p>
    <w:p w:rsidR="00CD1958" w:rsidRDefault="00CD1958" w:rsidP="00CD1958">
      <w:pPr>
        <w:spacing w:before="100" w:beforeAutospacing="1" w:after="100" w:afterAutospacing="1"/>
        <w:jc w:val="center"/>
        <w:rPr>
          <w:rStyle w:val="a8"/>
        </w:rPr>
      </w:pPr>
      <w:r>
        <w:rPr>
          <w:rStyle w:val="a8"/>
          <w:sz w:val="28"/>
        </w:rPr>
        <w:t>6. Финансирование деятельности муниципальной инновационной площадки</w:t>
      </w:r>
    </w:p>
    <w:p w:rsidR="00CD1958" w:rsidRDefault="00CD1958" w:rsidP="00CD1958">
      <w:pPr>
        <w:jc w:val="both"/>
        <w:rPr>
          <w:rStyle w:val="a8"/>
          <w:b w:val="0"/>
          <w:sz w:val="28"/>
        </w:rPr>
      </w:pPr>
      <w:r>
        <w:rPr>
          <w:rStyle w:val="a8"/>
          <w:sz w:val="28"/>
        </w:rPr>
        <w:t>6.1. Финансирование деятельности МИП может осуществляться за счет средств:</w:t>
      </w:r>
    </w:p>
    <w:p w:rsidR="00CD1958" w:rsidRDefault="00CD1958" w:rsidP="00CD1958">
      <w:pPr>
        <w:numPr>
          <w:ilvl w:val="0"/>
          <w:numId w:val="8"/>
        </w:numPr>
        <w:jc w:val="both"/>
      </w:pPr>
      <w:r>
        <w:rPr>
          <w:sz w:val="28"/>
        </w:rPr>
        <w:t xml:space="preserve">областного бюджета </w:t>
      </w:r>
      <w:proofErr w:type="spellStart"/>
      <w:r>
        <w:rPr>
          <w:sz w:val="28"/>
        </w:rPr>
        <w:t>минобразования</w:t>
      </w:r>
      <w:proofErr w:type="spellEnd"/>
      <w:r>
        <w:rPr>
          <w:sz w:val="28"/>
        </w:rPr>
        <w:t xml:space="preserve"> Ростовской области;</w:t>
      </w:r>
    </w:p>
    <w:p w:rsidR="00CD1958" w:rsidRDefault="00CD1958" w:rsidP="00CD1958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местного бюджета Администрации Миллеровского района;</w:t>
      </w:r>
    </w:p>
    <w:p w:rsidR="00CD1958" w:rsidRDefault="00CD1958" w:rsidP="00CD1958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других организаций, фондов развития, отдельных граждан;</w:t>
      </w:r>
    </w:p>
    <w:p w:rsidR="00CD1958" w:rsidRDefault="00CD1958" w:rsidP="00CD1958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доходов, получаемых от реализации платных дополнительных образовательных услуг и другой деятельности.</w:t>
      </w:r>
    </w:p>
    <w:p w:rsidR="00CD1958" w:rsidRDefault="00CD1958" w:rsidP="00CD1958">
      <w:pPr>
        <w:jc w:val="both"/>
        <w:rPr>
          <w:sz w:val="28"/>
        </w:rPr>
      </w:pPr>
      <w:r>
        <w:rPr>
          <w:sz w:val="28"/>
        </w:rPr>
        <w:t>6.2. В целях стимулирования деятельности работников образовательных учреждений, участвующих в реализации инновационного проекта в рамках статуса МИП, образовательное учреждение может определять размеры и виды доплат, премий в пределах фонда оплаты труда.</w:t>
      </w:r>
    </w:p>
    <w:p w:rsidR="00CD1958" w:rsidRDefault="00CD1958" w:rsidP="00CD1958">
      <w:pPr>
        <w:jc w:val="both"/>
        <w:rPr>
          <w:sz w:val="28"/>
        </w:rPr>
      </w:pPr>
      <w:r>
        <w:rPr>
          <w:sz w:val="28"/>
        </w:rPr>
        <w:t xml:space="preserve">6.3. Финансовые средства могут использоваться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:</w:t>
      </w:r>
    </w:p>
    <w:p w:rsidR="00CD1958" w:rsidRDefault="00CD1958" w:rsidP="00CD1958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издание материалов, разработанных МИП;</w:t>
      </w:r>
    </w:p>
    <w:p w:rsidR="00CD1958" w:rsidRDefault="00CD1958" w:rsidP="00CD1958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проведение семинаров, конференций, курсов повышения квалификации;</w:t>
      </w:r>
    </w:p>
    <w:p w:rsidR="00CD1958" w:rsidRDefault="00CD1958" w:rsidP="00CD1958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организацию научно-методической поддержки образовательной инициативы;</w:t>
      </w:r>
    </w:p>
    <w:p w:rsidR="00CD1958" w:rsidRDefault="00CD1958" w:rsidP="00CD1958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обеспечение информационно-коммуникационной среды;</w:t>
      </w:r>
    </w:p>
    <w:p w:rsidR="00CD1958" w:rsidRDefault="00CD1958" w:rsidP="00CD1958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оплату труда экспертов;</w:t>
      </w:r>
    </w:p>
    <w:p w:rsidR="00CD1958" w:rsidRDefault="00CD1958" w:rsidP="00CD1958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стимулирование труда работников, участвующих в реализации инновационного проекта.</w:t>
      </w:r>
    </w:p>
    <w:p w:rsidR="00CD1958" w:rsidRDefault="00CD1958" w:rsidP="00CD1958">
      <w:pPr>
        <w:jc w:val="both"/>
        <w:rPr>
          <w:sz w:val="28"/>
        </w:rPr>
      </w:pPr>
    </w:p>
    <w:p w:rsidR="00CD1958" w:rsidRDefault="00CD1958" w:rsidP="00CD1958">
      <w:pPr>
        <w:jc w:val="both"/>
        <w:rPr>
          <w:sz w:val="28"/>
        </w:rPr>
      </w:pPr>
    </w:p>
    <w:p w:rsidR="00CD1958" w:rsidRDefault="00CD1958" w:rsidP="00CD1958">
      <w:pPr>
        <w:jc w:val="both"/>
        <w:rPr>
          <w:sz w:val="28"/>
        </w:rPr>
      </w:pPr>
    </w:p>
    <w:p w:rsidR="00CD1958" w:rsidRDefault="00CD1958" w:rsidP="00CD1958">
      <w:pPr>
        <w:jc w:val="both"/>
        <w:rPr>
          <w:sz w:val="28"/>
        </w:rPr>
      </w:pPr>
    </w:p>
    <w:p w:rsidR="00CD1958" w:rsidRDefault="00CD1958" w:rsidP="00CD1958">
      <w:pPr>
        <w:jc w:val="both"/>
        <w:rPr>
          <w:sz w:val="28"/>
        </w:rPr>
      </w:pPr>
    </w:p>
    <w:p w:rsidR="00CD1958" w:rsidRDefault="00CD1958" w:rsidP="00CD1958">
      <w:pPr>
        <w:jc w:val="both"/>
        <w:rPr>
          <w:sz w:val="28"/>
        </w:rPr>
      </w:pPr>
    </w:p>
    <w:p w:rsidR="00CD1958" w:rsidRDefault="00CD1958" w:rsidP="00CD1958">
      <w:pPr>
        <w:jc w:val="both"/>
        <w:rPr>
          <w:sz w:val="28"/>
        </w:rPr>
      </w:pPr>
    </w:p>
    <w:p w:rsidR="00CD1958" w:rsidRDefault="00CD1958" w:rsidP="00CD1958">
      <w:pPr>
        <w:jc w:val="both"/>
        <w:rPr>
          <w:sz w:val="28"/>
        </w:rPr>
      </w:pPr>
    </w:p>
    <w:p w:rsidR="00CD1958" w:rsidRDefault="00CD1958" w:rsidP="00CD1958">
      <w:pPr>
        <w:jc w:val="both"/>
        <w:rPr>
          <w:sz w:val="28"/>
        </w:rPr>
      </w:pPr>
    </w:p>
    <w:p w:rsidR="00CD1958" w:rsidRDefault="00CD1958" w:rsidP="00CD1958">
      <w:pPr>
        <w:jc w:val="both"/>
        <w:rPr>
          <w:sz w:val="28"/>
        </w:rPr>
      </w:pPr>
    </w:p>
    <w:p w:rsidR="00CD1958" w:rsidRDefault="00CD1958" w:rsidP="00CD1958">
      <w:pPr>
        <w:jc w:val="both"/>
        <w:rPr>
          <w:sz w:val="28"/>
        </w:rPr>
      </w:pPr>
    </w:p>
    <w:p w:rsidR="00CD1958" w:rsidRDefault="00CD1958" w:rsidP="00CD1958">
      <w:pPr>
        <w:jc w:val="both"/>
        <w:rPr>
          <w:sz w:val="28"/>
        </w:rPr>
      </w:pPr>
    </w:p>
    <w:p w:rsidR="00D0325D" w:rsidRDefault="00DC5306">
      <w:bookmarkStart w:id="0" w:name="_GoBack"/>
      <w:bookmarkEnd w:id="0"/>
    </w:p>
    <w:sectPr w:rsidR="00D0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747EE"/>
    <w:multiLevelType w:val="hybridMultilevel"/>
    <w:tmpl w:val="679664C8"/>
    <w:lvl w:ilvl="0" w:tplc="7E144584">
      <w:start w:val="1"/>
      <w:numFmt w:val="bullet"/>
      <w:lvlText w:val="-"/>
      <w:lvlJc w:val="left"/>
      <w:pPr>
        <w:tabs>
          <w:tab w:val="num" w:pos="723"/>
        </w:tabs>
        <w:ind w:left="723" w:hanging="363"/>
      </w:pPr>
      <w:rPr>
        <w:rFonts w:ascii="Verdana" w:hAnsi="Verdana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7517C"/>
    <w:multiLevelType w:val="hybridMultilevel"/>
    <w:tmpl w:val="A3546550"/>
    <w:lvl w:ilvl="0" w:tplc="7E14458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Verdana" w:hAnsi="Verdana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550796"/>
    <w:multiLevelType w:val="hybridMultilevel"/>
    <w:tmpl w:val="4876239E"/>
    <w:lvl w:ilvl="0" w:tplc="7E14458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Verdana" w:hAnsi="Verdana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7B7DA5"/>
    <w:multiLevelType w:val="hybridMultilevel"/>
    <w:tmpl w:val="E640E7F6"/>
    <w:lvl w:ilvl="0" w:tplc="7E144584">
      <w:start w:val="1"/>
      <w:numFmt w:val="bullet"/>
      <w:lvlText w:val="-"/>
      <w:lvlJc w:val="left"/>
      <w:pPr>
        <w:tabs>
          <w:tab w:val="num" w:pos="1083"/>
        </w:tabs>
        <w:ind w:left="1083" w:hanging="363"/>
      </w:pPr>
      <w:rPr>
        <w:rFonts w:ascii="Verdana" w:hAnsi="Verdana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031CC2"/>
    <w:multiLevelType w:val="hybridMultilevel"/>
    <w:tmpl w:val="09E875E4"/>
    <w:lvl w:ilvl="0" w:tplc="7E14458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Verdana" w:hAnsi="Verdana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F81B51"/>
    <w:multiLevelType w:val="hybridMultilevel"/>
    <w:tmpl w:val="31D4F578"/>
    <w:lvl w:ilvl="0" w:tplc="7E14458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Verdana" w:hAnsi="Verdana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5D0E3B"/>
    <w:multiLevelType w:val="hybridMultilevel"/>
    <w:tmpl w:val="1D0E29DC"/>
    <w:lvl w:ilvl="0" w:tplc="7E14458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Verdana" w:hAnsi="Verdana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CC5550"/>
    <w:multiLevelType w:val="hybridMultilevel"/>
    <w:tmpl w:val="3572E12C"/>
    <w:lvl w:ilvl="0" w:tplc="7E144584">
      <w:start w:val="1"/>
      <w:numFmt w:val="bullet"/>
      <w:lvlText w:val="-"/>
      <w:lvlJc w:val="left"/>
      <w:pPr>
        <w:tabs>
          <w:tab w:val="num" w:pos="723"/>
        </w:tabs>
        <w:ind w:left="723" w:hanging="363"/>
      </w:pPr>
      <w:rPr>
        <w:rFonts w:ascii="Verdana" w:hAnsi="Verdana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3E24B1"/>
    <w:multiLevelType w:val="hybridMultilevel"/>
    <w:tmpl w:val="C44C4F58"/>
    <w:lvl w:ilvl="0" w:tplc="7E14458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Verdana" w:hAnsi="Verdana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58"/>
    <w:rsid w:val="00421E77"/>
    <w:rsid w:val="00940CB7"/>
    <w:rsid w:val="00CD1958"/>
    <w:rsid w:val="00DC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1958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CD195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D1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CD1958"/>
    <w:pPr>
      <w:spacing w:after="120"/>
      <w:ind w:left="360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D1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CD1958"/>
    <w:pPr>
      <w:ind w:firstLine="720"/>
      <w:jc w:val="both"/>
    </w:pPr>
    <w:rPr>
      <w:b/>
      <w:szCs w:val="20"/>
    </w:rPr>
  </w:style>
  <w:style w:type="character" w:styleId="a8">
    <w:name w:val="Strong"/>
    <w:basedOn w:val="a0"/>
    <w:qFormat/>
    <w:rsid w:val="00CD19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1958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CD195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D1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CD1958"/>
    <w:pPr>
      <w:spacing w:after="120"/>
      <w:ind w:left="360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D1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CD1958"/>
    <w:pPr>
      <w:ind w:firstLine="720"/>
      <w:jc w:val="both"/>
    </w:pPr>
    <w:rPr>
      <w:b/>
      <w:szCs w:val="20"/>
    </w:rPr>
  </w:style>
  <w:style w:type="character" w:styleId="a8">
    <w:name w:val="Strong"/>
    <w:basedOn w:val="a0"/>
    <w:qFormat/>
    <w:rsid w:val="00CD1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2020-07-28T11:27:00Z</dcterms:created>
  <dcterms:modified xsi:type="dcterms:W3CDTF">2020-07-28T11:43:00Z</dcterms:modified>
</cp:coreProperties>
</file>